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B5" w:rsidRDefault="00A20C45" w:rsidP="00A20C45">
      <w:pPr>
        <w:jc w:val="center"/>
        <w:rPr>
          <w:b/>
          <w:bCs/>
          <w:color w:val="17365D" w:themeColor="text2" w:themeShade="BF"/>
          <w:sz w:val="32"/>
          <w:szCs w:val="32"/>
        </w:rPr>
      </w:pPr>
      <w:r w:rsidRPr="00A20C45">
        <w:rPr>
          <w:b/>
          <w:bCs/>
          <w:color w:val="17365D" w:themeColor="text2" w:themeShade="BF"/>
          <w:sz w:val="32"/>
          <w:szCs w:val="32"/>
        </w:rPr>
        <w:t>Двадцать третий урок</w:t>
      </w:r>
    </w:p>
    <w:p w:rsidR="00A20C45" w:rsidRPr="00A20C45" w:rsidRDefault="00A20C45" w:rsidP="00A20C45">
      <w:pPr>
        <w:jc w:val="center"/>
        <w:rPr>
          <w:color w:val="FF0000"/>
          <w:sz w:val="28"/>
          <w:szCs w:val="28"/>
        </w:rPr>
      </w:pPr>
      <w:r w:rsidRPr="00A20C45">
        <w:rPr>
          <w:color w:val="FF0000"/>
          <w:sz w:val="28"/>
          <w:szCs w:val="28"/>
        </w:rPr>
        <w:t>Слова в отношении качеств Аллаха подобно словам о Его сущности</w:t>
      </w:r>
    </w:p>
    <w:p w:rsidR="00A20C45" w:rsidRPr="001D32CD" w:rsidRDefault="00DF546D" w:rsidP="00A20C45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Это великое правило, которое используют ахлу сунна уаль</w:t>
      </w:r>
      <w:r w:rsidR="00B47EA2" w:rsidRPr="001D32CD">
        <w:rPr>
          <w:color w:val="17365D" w:themeColor="text2" w:themeShade="BF"/>
        </w:rPr>
        <w:t xml:space="preserve"> </w:t>
      </w:r>
      <w:r w:rsidRPr="001D32CD">
        <w:rPr>
          <w:color w:val="17365D" w:themeColor="text2" w:themeShade="BF"/>
        </w:rPr>
        <w:t>джама</w:t>
      </w:r>
      <w:r w:rsidR="00B47EA2" w:rsidRPr="001D32CD">
        <w:rPr>
          <w:color w:val="17365D" w:themeColor="text2" w:themeShade="BF"/>
        </w:rPr>
        <w:t>’</w:t>
      </w:r>
      <w:r w:rsidRPr="001D32CD">
        <w:rPr>
          <w:color w:val="17365D" w:themeColor="text2" w:themeShade="BF"/>
        </w:rPr>
        <w:t xml:space="preserve">а в опровержении </w:t>
      </w:r>
      <w:r w:rsidR="00D06940" w:rsidRPr="001D32CD">
        <w:rPr>
          <w:color w:val="17365D" w:themeColor="text2" w:themeShade="BF"/>
        </w:rPr>
        <w:t xml:space="preserve">своим противникам </w:t>
      </w:r>
      <w:r w:rsidRPr="001D32CD">
        <w:rPr>
          <w:color w:val="17365D" w:themeColor="text2" w:themeShade="BF"/>
        </w:rPr>
        <w:t>в разделе имен и качеств Аллаха</w:t>
      </w:r>
      <w:r w:rsidR="00D06940" w:rsidRPr="001D32CD">
        <w:rPr>
          <w:color w:val="17365D" w:themeColor="text2" w:themeShade="BF"/>
        </w:rPr>
        <w:t>.</w:t>
      </w:r>
    </w:p>
    <w:p w:rsidR="00D06940" w:rsidRPr="001D32CD" w:rsidRDefault="00D06940" w:rsidP="00B47EA2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 xml:space="preserve">На это правило указал Абу Наср ас-Сиджи(умер в 444 г.х)  своей книге «рад </w:t>
      </w:r>
      <w:r w:rsidR="00B47EA2" w:rsidRPr="001D32CD">
        <w:rPr>
          <w:color w:val="17365D" w:themeColor="text2" w:themeShade="BF"/>
        </w:rPr>
        <w:t>‘</w:t>
      </w:r>
      <w:r w:rsidRPr="001D32CD">
        <w:rPr>
          <w:color w:val="17365D" w:themeColor="text2" w:themeShade="BF"/>
        </w:rPr>
        <w:t>ала ман анкара хар уа саут» сказав: «То</w:t>
      </w:r>
      <w:r w:rsidR="00B47EA2" w:rsidRPr="001D32CD">
        <w:rPr>
          <w:color w:val="17365D" w:themeColor="text2" w:themeShade="BF"/>
        </w:rPr>
        <w:t>,</w:t>
      </w:r>
      <w:r w:rsidRPr="001D32CD">
        <w:rPr>
          <w:color w:val="17365D" w:themeColor="text2" w:themeShade="BF"/>
        </w:rPr>
        <w:t xml:space="preserve"> что является для них обязательным принять в отношении его сущности так же является обязательным принять в отношении его качеств»</w:t>
      </w:r>
      <w:r w:rsidR="00594FA7" w:rsidRPr="001D32CD">
        <w:rPr>
          <w:rStyle w:val="a5"/>
          <w:color w:val="17365D" w:themeColor="text2" w:themeShade="BF"/>
        </w:rPr>
        <w:footnoteReference w:id="1"/>
      </w:r>
    </w:p>
    <w:p w:rsidR="00594FA7" w:rsidRPr="001D32CD" w:rsidRDefault="00594FA7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Подробно же о</w:t>
      </w:r>
      <w:r w:rsidR="00B47EA2" w:rsidRPr="001D32CD">
        <w:rPr>
          <w:color w:val="17365D" w:themeColor="text2" w:themeShade="BF"/>
        </w:rPr>
        <w:t>б</w:t>
      </w:r>
      <w:r w:rsidRPr="001D32CD">
        <w:rPr>
          <w:color w:val="17365D" w:themeColor="text2" w:themeShade="BF"/>
        </w:rPr>
        <w:t xml:space="preserve"> этой основе говорил ШейхульИслам ибн Таймиях в своей книге «тадмуриях» и именно от него это правило стало известным.</w:t>
      </w:r>
    </w:p>
    <w:p w:rsidR="00955DA6" w:rsidRPr="001D32CD" w:rsidRDefault="00594FA7" w:rsidP="00B47EA2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Сказал Шейхуль Ислам,да смилуется над ним Аллах,: «То, что мы говорим в отношении качеств Аллаха тоже самое мы можем сказать в отношении его сущности.  Ведь нет ничего подобного Аллаху не в его сущности не в его качествах и не в его поступках. Если у Аллаха есть сущность</w:t>
      </w:r>
      <w:r w:rsidR="00B47EA2" w:rsidRPr="001D32CD">
        <w:rPr>
          <w:color w:val="17365D" w:themeColor="text2" w:themeShade="BF"/>
        </w:rPr>
        <w:t>,</w:t>
      </w:r>
      <w:r w:rsidRPr="001D32CD">
        <w:rPr>
          <w:color w:val="17365D" w:themeColor="text2" w:themeShade="BF"/>
        </w:rPr>
        <w:t xml:space="preserve"> которая не похожа не на одну</w:t>
      </w:r>
      <w:r w:rsidR="00B47EA2" w:rsidRPr="001D32CD">
        <w:rPr>
          <w:color w:val="17365D" w:themeColor="text2" w:themeShade="BF"/>
        </w:rPr>
        <w:t xml:space="preserve"> </w:t>
      </w:r>
      <w:r w:rsidRPr="001D32CD">
        <w:rPr>
          <w:color w:val="17365D" w:themeColor="text2" w:themeShade="BF"/>
        </w:rPr>
        <w:t>из сущностей его созданий то так же мы можем сказать что у его сущности  есть качества (описания, атрибуты) которые в свою очередь не похожи ни на одно из его созданий</w:t>
      </w:r>
    </w:p>
    <w:p w:rsidR="00955DA6" w:rsidRPr="001D32CD" w:rsidRDefault="00955DA6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Если кто-то спросит</w:t>
      </w:r>
      <w:r w:rsidR="00B47EA2" w:rsidRPr="001D32CD">
        <w:rPr>
          <w:color w:val="17365D" w:themeColor="text2" w:themeShade="BF"/>
        </w:rPr>
        <w:t>:</w:t>
      </w:r>
      <w:r w:rsidRPr="001D32CD">
        <w:rPr>
          <w:color w:val="17365D" w:themeColor="text2" w:themeShade="BF"/>
        </w:rPr>
        <w:t xml:space="preserve"> как Он возвысился?</w:t>
      </w:r>
    </w:p>
    <w:p w:rsidR="00955DA6" w:rsidRPr="001D32CD" w:rsidRDefault="00955DA6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То мы ему скажем</w:t>
      </w:r>
      <w:r w:rsidR="00B47EA2" w:rsidRPr="001D32CD">
        <w:rPr>
          <w:color w:val="17365D" w:themeColor="text2" w:themeShade="BF"/>
        </w:rPr>
        <w:t xml:space="preserve"> так</w:t>
      </w:r>
      <w:r w:rsidRPr="001D32CD">
        <w:rPr>
          <w:color w:val="17365D" w:themeColor="text2" w:themeShade="BF"/>
        </w:rPr>
        <w:t xml:space="preserve"> как сказал Раби</w:t>
      </w:r>
      <w:r w:rsidR="00B47EA2" w:rsidRPr="001D32CD">
        <w:rPr>
          <w:color w:val="17365D" w:themeColor="text2" w:themeShade="BF"/>
        </w:rPr>
        <w:t>’</w:t>
      </w:r>
      <w:r w:rsidRPr="001D32CD">
        <w:rPr>
          <w:color w:val="17365D" w:themeColor="text2" w:themeShade="BF"/>
        </w:rPr>
        <w:t>а, имам Малик и другие возвышение известно каким образом неизвестно  верить в это обязательно а спрашивать об этом является новшеством. Так как человек не может знать ответ на этот вопрос.</w:t>
      </w:r>
    </w:p>
    <w:p w:rsidR="00955DA6" w:rsidRPr="001D32CD" w:rsidRDefault="00955DA6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Так же как если спросит</w:t>
      </w:r>
      <w:r w:rsidR="00B47EA2" w:rsidRPr="001D32CD">
        <w:rPr>
          <w:color w:val="17365D" w:themeColor="text2" w:themeShade="BF"/>
        </w:rPr>
        <w:t>:</w:t>
      </w:r>
      <w:r w:rsidRPr="001D32CD">
        <w:rPr>
          <w:color w:val="17365D" w:themeColor="text2" w:themeShade="BF"/>
        </w:rPr>
        <w:t xml:space="preserve"> как спускается наш Господь на ближайшее небо?</w:t>
      </w:r>
    </w:p>
    <w:p w:rsidR="00955DA6" w:rsidRPr="001D32CD" w:rsidRDefault="00955DA6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То мы скажем ему: А каков он наш Господь(то есть как он выглядит)?</w:t>
      </w:r>
    </w:p>
    <w:p w:rsidR="00955DA6" w:rsidRPr="001D32CD" w:rsidRDefault="00955DA6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Если он скажет</w:t>
      </w:r>
      <w:r w:rsidR="00B47EA2" w:rsidRPr="001D32CD">
        <w:rPr>
          <w:color w:val="17365D" w:themeColor="text2" w:themeShade="BF"/>
        </w:rPr>
        <w:t>:</w:t>
      </w:r>
      <w:r w:rsidRPr="001D32CD">
        <w:rPr>
          <w:color w:val="17365D" w:themeColor="text2" w:themeShade="BF"/>
        </w:rPr>
        <w:t xml:space="preserve"> я не знаю как он выглядит</w:t>
      </w:r>
    </w:p>
    <w:p w:rsidR="00955DA6" w:rsidRPr="001D32CD" w:rsidRDefault="00955DA6" w:rsidP="00B47EA2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 xml:space="preserve">То мы скажем ему: </w:t>
      </w:r>
      <w:r w:rsidR="00B47EA2" w:rsidRPr="001D32CD">
        <w:rPr>
          <w:color w:val="17365D" w:themeColor="text2" w:themeShade="BF"/>
        </w:rPr>
        <w:t>А</w:t>
      </w:r>
      <w:r w:rsidRPr="001D32CD">
        <w:rPr>
          <w:color w:val="17365D" w:themeColor="text2" w:themeShade="BF"/>
        </w:rPr>
        <w:t xml:space="preserve"> мы не знаем как он спускается. Так как если ты знаешь образ описание кого-то, то  ты должен знать того кто описан этим описанием. И поэтому как ты можешь требовать от меня знаний о</w:t>
      </w:r>
      <w:r w:rsidR="00B47EA2" w:rsidRPr="001D32CD">
        <w:rPr>
          <w:color w:val="17365D" w:themeColor="text2" w:themeShade="BF"/>
        </w:rPr>
        <w:t>б</w:t>
      </w:r>
      <w:r w:rsidRPr="001D32CD">
        <w:rPr>
          <w:color w:val="17365D" w:themeColor="text2" w:themeShade="BF"/>
        </w:rPr>
        <w:t xml:space="preserve"> образе его слуха, видения, речи, спускания, возвышения в то время как ты не знаешь образа его сущности.</w:t>
      </w:r>
    </w:p>
    <w:p w:rsidR="00594FA7" w:rsidRPr="001D32CD" w:rsidRDefault="00955DA6" w:rsidP="00B47EA2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Если же ты</w:t>
      </w:r>
      <w:r w:rsidR="00B47EA2" w:rsidRPr="001D32CD">
        <w:rPr>
          <w:color w:val="17365D" w:themeColor="text2" w:themeShade="BF"/>
        </w:rPr>
        <w:t xml:space="preserve"> </w:t>
      </w:r>
      <w:r w:rsidRPr="001D32CD">
        <w:rPr>
          <w:color w:val="17365D" w:themeColor="text2" w:themeShade="BF"/>
        </w:rPr>
        <w:t>признаешь что у него есть сущность  на самом деле</w:t>
      </w:r>
      <w:r w:rsidR="00B47EA2" w:rsidRPr="001D32CD">
        <w:rPr>
          <w:color w:val="17365D" w:themeColor="text2" w:themeShade="BF"/>
        </w:rPr>
        <w:t>,</w:t>
      </w:r>
      <w:r w:rsidRPr="001D32CD">
        <w:rPr>
          <w:color w:val="17365D" w:themeColor="text2" w:themeShade="BF"/>
        </w:rPr>
        <w:t xml:space="preserve"> которая охватывает в себе качества совершенства и ничто не может быть похо</w:t>
      </w:r>
      <w:r w:rsidR="00B47EA2" w:rsidRPr="001D32CD">
        <w:rPr>
          <w:color w:val="17365D" w:themeColor="text2" w:themeShade="BF"/>
        </w:rPr>
        <w:t>ж</w:t>
      </w:r>
      <w:r w:rsidRPr="001D32CD">
        <w:rPr>
          <w:color w:val="17365D" w:themeColor="text2" w:themeShade="BF"/>
        </w:rPr>
        <w:t>им на него</w:t>
      </w:r>
      <w:r w:rsidR="00B47EA2" w:rsidRPr="001D32CD">
        <w:rPr>
          <w:color w:val="17365D" w:themeColor="text2" w:themeShade="BF"/>
        </w:rPr>
        <w:t>,</w:t>
      </w:r>
      <w:r w:rsidRPr="001D32CD">
        <w:rPr>
          <w:color w:val="17365D" w:themeColor="text2" w:themeShade="BF"/>
        </w:rPr>
        <w:t xml:space="preserve">  то тоже самое мы можем сказать в отношении его слуха, зрения, возвышения, речи</w:t>
      </w:r>
      <w:r w:rsidR="00430EEF" w:rsidRPr="001D32CD">
        <w:rPr>
          <w:color w:val="17365D" w:themeColor="text2" w:themeShade="BF"/>
        </w:rPr>
        <w:t>. И поэтому, мы говорим, что он описан качествами совершенства как зрение, слух , возвышение но качества его созданий не могут быть похожими на качества Всевышнего..</w:t>
      </w:r>
      <w:r w:rsidRPr="001D32CD">
        <w:rPr>
          <w:color w:val="17365D" w:themeColor="text2" w:themeShade="BF"/>
        </w:rPr>
        <w:t xml:space="preserve"> </w:t>
      </w:r>
    </w:p>
    <w:p w:rsidR="00CC01B8" w:rsidRPr="001D32CD" w:rsidRDefault="00CC01B8" w:rsidP="00B47EA2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 xml:space="preserve">Эти слова обязывают принять их разумы, так же как в вопросе истолкования контекстов. Ведь тот, кто подтверждает что-то или отрицает делает это основываясь на </w:t>
      </w:r>
      <w:r w:rsidRPr="001D32CD">
        <w:rPr>
          <w:color w:val="17365D" w:themeColor="text2" w:themeShade="BF"/>
        </w:rPr>
        <w:lastRenderedPageBreak/>
        <w:t xml:space="preserve">свой разум. И поэтому мы говорим </w:t>
      </w:r>
      <w:r w:rsidR="00B47EA2" w:rsidRPr="001D32CD">
        <w:rPr>
          <w:color w:val="17365D" w:themeColor="text2" w:themeShade="BF"/>
        </w:rPr>
        <w:t>то что обязало его</w:t>
      </w:r>
      <w:r w:rsidRPr="001D32CD">
        <w:rPr>
          <w:color w:val="17365D" w:themeColor="text2" w:themeShade="BF"/>
        </w:rPr>
        <w:t xml:space="preserve"> отрицать качества в Коране и сунне так же должно его обязать в отношении тех качеств которые он  подтвердил. И он обязан привести разницу почему в одних местах он подтверждает а в других отрицает.»</w:t>
      </w:r>
      <w:r w:rsidRPr="001D32CD">
        <w:rPr>
          <w:rStyle w:val="a5"/>
          <w:color w:val="17365D" w:themeColor="text2" w:themeShade="BF"/>
        </w:rPr>
        <w:footnoteReference w:id="2"/>
      </w:r>
    </w:p>
    <w:p w:rsidR="00594FA7" w:rsidRPr="001D32CD" w:rsidRDefault="00CC01B8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Из слов Шейха Ислама мы можем извлечь некоторые пользы:</w:t>
      </w:r>
    </w:p>
    <w:p w:rsidR="00CC01B8" w:rsidRPr="001D32CD" w:rsidRDefault="00CC01B8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 xml:space="preserve">1 </w:t>
      </w:r>
      <w:r w:rsidR="00472C60" w:rsidRPr="001D32CD">
        <w:rPr>
          <w:color w:val="17365D" w:themeColor="text2" w:themeShade="BF"/>
        </w:rPr>
        <w:t>–</w:t>
      </w:r>
      <w:r w:rsidRPr="001D32CD">
        <w:rPr>
          <w:color w:val="17365D" w:themeColor="text2" w:themeShade="BF"/>
        </w:rPr>
        <w:t xml:space="preserve"> </w:t>
      </w:r>
      <w:r w:rsidR="00472C60" w:rsidRPr="001D32CD">
        <w:rPr>
          <w:color w:val="17365D" w:themeColor="text2" w:themeShade="BF"/>
        </w:rPr>
        <w:t>Слова в отношении качеств Всевышнего подобны словам в отношении Его сущности. Если у него есть сущность на самом деле, которая не похожа на сущность других его созданий то тоже самое мы обязаны говорить в отношении его качеств что они так же не похожи на качества кого-то из его созданий.</w:t>
      </w:r>
    </w:p>
    <w:p w:rsidR="00472C60" w:rsidRPr="001D32CD" w:rsidRDefault="00472C60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2 – Качества(описание) чего то следует за сущностью(то есть описание чего то является его частью). Если Его сущность существует на самом деле и она не похожа на его создания то тоже самое мы обязаны говорить в отношении его качеств так как его качества занимают такое же положение как его сущность.</w:t>
      </w:r>
    </w:p>
    <w:p w:rsidR="00472C60" w:rsidRPr="001D32CD" w:rsidRDefault="00472C60" w:rsidP="00594FA7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3 – Если мы не знаем образ его сущности  а наш противник соглашается с этим то какое право мы имеем познать образ его качеств. Ведь знание о качестве требует от себя знание о том кто описан этим качеством.</w:t>
      </w:r>
    </w:p>
    <w:p w:rsidR="00A20C45" w:rsidRPr="001D32CD" w:rsidRDefault="00472C60" w:rsidP="00472C60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>4 – Мы говорим своему противнику: если ты не знаешь  образ его сущности и это не является недостатком в твоей вере в него, то как ты можешь считать недостатком то что мы верим в его качества но не знаем их образа.</w:t>
      </w:r>
    </w:p>
    <w:p w:rsidR="00472C60" w:rsidRPr="001D32CD" w:rsidRDefault="00472C60" w:rsidP="00472C60">
      <w:pPr>
        <w:rPr>
          <w:color w:val="17365D" w:themeColor="text2" w:themeShade="BF"/>
        </w:rPr>
      </w:pPr>
      <w:r w:rsidRPr="001D32CD">
        <w:rPr>
          <w:color w:val="17365D" w:themeColor="text2" w:themeShade="BF"/>
        </w:rPr>
        <w:t xml:space="preserve">5 – Мы говорим своему противнику: Если ты считаешь нас мушаббиха(уподобляющими) в качествах Всевышнего то </w:t>
      </w:r>
      <w:r w:rsidR="00B47EA2" w:rsidRPr="001D32CD">
        <w:rPr>
          <w:color w:val="17365D" w:themeColor="text2" w:themeShade="BF"/>
        </w:rPr>
        <w:t>получается ты мушаббих(</w:t>
      </w:r>
      <w:r w:rsidR="00394545" w:rsidRPr="001D32CD">
        <w:rPr>
          <w:color w:val="17365D" w:themeColor="text2" w:themeShade="BF"/>
        </w:rPr>
        <w:t>уподобляющий</w:t>
      </w:r>
      <w:r w:rsidR="00B47EA2" w:rsidRPr="001D32CD">
        <w:rPr>
          <w:color w:val="17365D" w:themeColor="text2" w:themeShade="BF"/>
        </w:rPr>
        <w:t>) в его сущности. А уподобление в качествах или в некоторых качествах  ниже степенью уподобления в его сущности. И поэтому всем тем чем ты обязываешь нас в отношении его качеств мы обязываем тебя тем же в отношении его сущности.</w:t>
      </w:r>
    </w:p>
    <w:p w:rsidR="00B47EA2" w:rsidRPr="001D32CD" w:rsidRDefault="00B47EA2" w:rsidP="00472C60">
      <w:pPr>
        <w:rPr>
          <w:color w:val="17365D" w:themeColor="text2" w:themeShade="BF"/>
        </w:rPr>
      </w:pPr>
    </w:p>
    <w:p w:rsidR="00B47EA2" w:rsidRPr="001D32CD" w:rsidRDefault="00B47EA2" w:rsidP="00B47EA2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1D32CD">
        <w:rPr>
          <w:rFonts w:ascii="Times New Roman" w:hAnsi="Times New Roman" w:cs="Times New Roman"/>
          <w:b/>
          <w:i/>
        </w:rPr>
        <w:t>Материал:</w:t>
      </w:r>
    </w:p>
    <w:p w:rsidR="00B47EA2" w:rsidRPr="001D32CD" w:rsidRDefault="00B47EA2" w:rsidP="00B47EA2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  <w:r w:rsidRPr="001D32CD">
        <w:rPr>
          <w:rFonts w:ascii="Times New Roman" w:hAnsi="Times New Roman" w:cs="Times New Roman"/>
          <w:bCs/>
          <w:iCs/>
        </w:rPr>
        <w:t>1 -  «ар-Рад ‘ала манн анкараль харф уа саут» стр.185</w:t>
      </w:r>
    </w:p>
    <w:p w:rsidR="00B47EA2" w:rsidRPr="001D32CD" w:rsidRDefault="00B47EA2" w:rsidP="00B47EA2">
      <w:pPr>
        <w:spacing w:line="360" w:lineRule="auto"/>
        <w:jc w:val="both"/>
        <w:rPr>
          <w:rFonts w:ascii="Times New Roman" w:hAnsi="Times New Roman" w:cs="Times New Roman"/>
          <w:bCs/>
          <w:iCs/>
        </w:rPr>
      </w:pPr>
      <w:r w:rsidRPr="001D32CD">
        <w:rPr>
          <w:rFonts w:ascii="Times New Roman" w:hAnsi="Times New Roman" w:cs="Times New Roman"/>
          <w:bCs/>
          <w:iCs/>
        </w:rPr>
        <w:t>2 – «Маджму’ульфатава»(тадмурия) стр.25-26, 38</w:t>
      </w:r>
    </w:p>
    <w:p w:rsidR="00B47EA2" w:rsidRPr="001D32CD" w:rsidRDefault="00B47EA2" w:rsidP="00472C60">
      <w:pPr>
        <w:rPr>
          <w:b/>
          <w:bCs/>
        </w:rPr>
      </w:pPr>
    </w:p>
    <w:sectPr w:rsidR="00B47EA2" w:rsidRPr="001D32CD" w:rsidSect="00CF41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025" w:rsidRDefault="00EA7025" w:rsidP="00594FA7">
      <w:pPr>
        <w:spacing w:after="0" w:line="240" w:lineRule="auto"/>
      </w:pPr>
      <w:r>
        <w:separator/>
      </w:r>
    </w:p>
  </w:endnote>
  <w:endnote w:type="continuationSeparator" w:id="0">
    <w:p w:rsidR="00EA7025" w:rsidRDefault="00EA7025" w:rsidP="00594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025" w:rsidRDefault="00EA7025" w:rsidP="00594FA7">
      <w:pPr>
        <w:spacing w:after="0" w:line="240" w:lineRule="auto"/>
      </w:pPr>
      <w:r>
        <w:separator/>
      </w:r>
    </w:p>
  </w:footnote>
  <w:footnote w:type="continuationSeparator" w:id="0">
    <w:p w:rsidR="00EA7025" w:rsidRDefault="00EA7025" w:rsidP="00594FA7">
      <w:pPr>
        <w:spacing w:after="0" w:line="240" w:lineRule="auto"/>
      </w:pPr>
      <w:r>
        <w:continuationSeparator/>
      </w:r>
    </w:p>
  </w:footnote>
  <w:footnote w:id="1">
    <w:p w:rsidR="00594FA7" w:rsidRDefault="00594FA7">
      <w:pPr>
        <w:pStyle w:val="a3"/>
      </w:pPr>
      <w:r>
        <w:rPr>
          <w:rStyle w:val="a5"/>
        </w:rPr>
        <w:footnoteRef/>
      </w:r>
      <w:r>
        <w:t xml:space="preserve">  «рад </w:t>
      </w:r>
      <w:r w:rsidR="00B47EA2">
        <w:t>‘</w:t>
      </w:r>
      <w:r>
        <w:t>ала манн анкара харф уа саут» стр.185</w:t>
      </w:r>
    </w:p>
  </w:footnote>
  <w:footnote w:id="2">
    <w:p w:rsidR="00CC01B8" w:rsidRDefault="00CC01B8">
      <w:pPr>
        <w:pStyle w:val="a3"/>
      </w:pPr>
      <w:r>
        <w:rPr>
          <w:rStyle w:val="a5"/>
        </w:rPr>
        <w:footnoteRef/>
      </w:r>
      <w:r>
        <w:t xml:space="preserve"> «Маджму</w:t>
      </w:r>
      <w:r w:rsidR="00B47EA2">
        <w:t>’</w:t>
      </w:r>
      <w:r>
        <w:t>ульфатава» 25-26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0C45"/>
    <w:rsid w:val="001D32CD"/>
    <w:rsid w:val="002C3EBF"/>
    <w:rsid w:val="00394545"/>
    <w:rsid w:val="00430EEF"/>
    <w:rsid w:val="00472C60"/>
    <w:rsid w:val="004F14D0"/>
    <w:rsid w:val="00594FA7"/>
    <w:rsid w:val="006D6BC6"/>
    <w:rsid w:val="00955DA6"/>
    <w:rsid w:val="00A20C45"/>
    <w:rsid w:val="00B47EA2"/>
    <w:rsid w:val="00CC01B8"/>
    <w:rsid w:val="00CE5B33"/>
    <w:rsid w:val="00CF41B5"/>
    <w:rsid w:val="00D06940"/>
    <w:rsid w:val="00DF546D"/>
    <w:rsid w:val="00EA7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94FA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94FA7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94FA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4DF4-5D9A-4F4E-856A-BFABF642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2013-02-07T06:58:00Z</cp:lastPrinted>
  <dcterms:created xsi:type="dcterms:W3CDTF">2013-01-24T11:41:00Z</dcterms:created>
  <dcterms:modified xsi:type="dcterms:W3CDTF">2013-02-07T06:58:00Z</dcterms:modified>
</cp:coreProperties>
</file>